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ind w:right="1120"/>
        <w:rPr>
          <w:rFonts w:hint="eastAsia" w:eastAsia="黑体"/>
          <w:sz w:val="32"/>
          <w:szCs w:val="32"/>
          <w:lang w:eastAsia="zh-CN"/>
        </w:rPr>
      </w:pPr>
      <w:r>
        <w:rPr>
          <w:rFonts w:eastAsia="黑体"/>
          <w:sz w:val="32"/>
          <w:szCs w:val="32"/>
        </w:rPr>
        <w:t>附件</w:t>
      </w:r>
      <w:r>
        <w:rPr>
          <w:rFonts w:hint="eastAsia" w:eastAsia="黑体"/>
          <w:sz w:val="32"/>
          <w:szCs w:val="32"/>
          <w:lang w:val="en-US" w:eastAsia="zh-CN"/>
        </w:rPr>
        <w:t>7</w:t>
      </w:r>
    </w:p>
    <w:p>
      <w:pPr>
        <w:snapToGrid w:val="0"/>
        <w:spacing w:line="600" w:lineRule="exact"/>
        <w:jc w:val="center"/>
        <w:rPr>
          <w:rFonts w:eastAsia="仿宋"/>
          <w:sz w:val="32"/>
          <w:szCs w:val="32"/>
        </w:rPr>
      </w:pPr>
      <w:r>
        <w:rPr>
          <w:rFonts w:eastAsia="方正小标宋简体"/>
          <w:sz w:val="44"/>
          <w:szCs w:val="44"/>
        </w:rPr>
        <w:t>征求意见情况说明表</w:t>
      </w:r>
    </w:p>
    <w:p>
      <w:pPr>
        <w:pStyle w:val="2"/>
      </w:pPr>
    </w:p>
    <w:tbl>
      <w:tblPr>
        <w:tblStyle w:val="5"/>
        <w:tblW w:w="5986" w:type="pct"/>
        <w:jc w:val="center"/>
        <w:tblLayout w:type="fixed"/>
        <w:tblCellMar>
          <w:top w:w="0" w:type="dxa"/>
          <w:left w:w="108" w:type="dxa"/>
          <w:bottom w:w="0" w:type="dxa"/>
          <w:right w:w="108" w:type="dxa"/>
        </w:tblCellMar>
      </w:tblPr>
      <w:tblGrid>
        <w:gridCol w:w="1283"/>
        <w:gridCol w:w="4335"/>
        <w:gridCol w:w="1259"/>
        <w:gridCol w:w="1035"/>
        <w:gridCol w:w="2292"/>
      </w:tblGrid>
      <w:tr>
        <w:tblPrEx>
          <w:tblCellMar>
            <w:top w:w="0" w:type="dxa"/>
            <w:left w:w="108" w:type="dxa"/>
            <w:bottom w:w="0" w:type="dxa"/>
            <w:right w:w="108" w:type="dxa"/>
          </w:tblCellMar>
        </w:tblPrEx>
        <w:trPr>
          <w:trHeight w:val="285" w:hRule="atLeast"/>
          <w:tblHeader/>
          <w:jc w:val="center"/>
        </w:trPr>
        <w:tc>
          <w:tcPr>
            <w:tcW w:w="628" w:type="pct"/>
            <w:vMerge w:val="restart"/>
            <w:tcBorders>
              <w:top w:val="single" w:color="000000" w:sz="4" w:space="0"/>
              <w:left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sz w:val="24"/>
                <w:szCs w:val="24"/>
              </w:rPr>
              <w:t>征求意见单位</w:t>
            </w:r>
          </w:p>
        </w:tc>
        <w:tc>
          <w:tcPr>
            <w:tcW w:w="2124" w:type="pct"/>
            <w:vMerge w:val="restart"/>
            <w:tcBorders>
              <w:top w:val="single" w:color="000000" w:sz="4" w:space="0"/>
              <w:left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sz w:val="24"/>
                <w:szCs w:val="24"/>
              </w:rPr>
              <w:t>修改建议</w:t>
            </w:r>
          </w:p>
        </w:tc>
        <w:tc>
          <w:tcPr>
            <w:tcW w:w="1124" w:type="pct"/>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kern w:val="0"/>
                <w:sz w:val="24"/>
                <w:szCs w:val="24"/>
                <w:u w:val="none"/>
                <w:lang w:val="en-US" w:eastAsia="zh-CN" w:bidi="ar"/>
              </w:rPr>
            </w:pPr>
            <w:r>
              <w:rPr>
                <w:rFonts w:hint="eastAsia" w:ascii="仿宋_GB2312" w:hAnsi="仿宋_GB2312" w:eastAsia="仿宋_GB2312" w:cs="仿宋_GB2312"/>
                <w:sz w:val="24"/>
                <w:szCs w:val="24"/>
                <w:lang w:val="en-US" w:eastAsia="zh-CN"/>
              </w:rPr>
              <w:t>采纳情况</w:t>
            </w:r>
          </w:p>
        </w:tc>
        <w:tc>
          <w:tcPr>
            <w:tcW w:w="1123" w:type="pct"/>
            <w:vMerge w:val="restart"/>
            <w:tcBorders>
              <w:top w:val="single" w:color="000000" w:sz="4" w:space="0"/>
              <w:left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备注</w:t>
            </w:r>
          </w:p>
        </w:tc>
      </w:tr>
      <w:tr>
        <w:tblPrEx>
          <w:tblCellMar>
            <w:top w:w="0" w:type="dxa"/>
            <w:left w:w="108" w:type="dxa"/>
            <w:bottom w:w="0" w:type="dxa"/>
            <w:right w:w="108" w:type="dxa"/>
          </w:tblCellMar>
        </w:tblPrEx>
        <w:trPr>
          <w:trHeight w:val="285" w:hRule="atLeast"/>
          <w:tblHeader/>
          <w:jc w:val="center"/>
        </w:trPr>
        <w:tc>
          <w:tcPr>
            <w:tcW w:w="628" w:type="pct"/>
            <w:vMerge w:val="continue"/>
            <w:tcBorders>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rPr>
            </w:pPr>
          </w:p>
        </w:tc>
        <w:tc>
          <w:tcPr>
            <w:tcW w:w="2124" w:type="pct"/>
            <w:vMerge w:val="continue"/>
            <w:tcBorders>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rPr>
            </w:pPr>
          </w:p>
        </w:tc>
        <w:tc>
          <w:tcPr>
            <w:tcW w:w="61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是</w:t>
            </w:r>
          </w:p>
        </w:tc>
        <w:tc>
          <w:tcPr>
            <w:tcW w:w="50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否</w:t>
            </w:r>
          </w:p>
        </w:tc>
        <w:tc>
          <w:tcPr>
            <w:tcW w:w="1123" w:type="pct"/>
            <w:vMerge w:val="continue"/>
            <w:tcBorders>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lang w:val="en-US" w:eastAsia="zh-CN"/>
              </w:rPr>
            </w:pPr>
          </w:p>
        </w:tc>
      </w:tr>
      <w:tr>
        <w:tblPrEx>
          <w:tblCellMar>
            <w:top w:w="0" w:type="dxa"/>
            <w:left w:w="108" w:type="dxa"/>
            <w:bottom w:w="0" w:type="dxa"/>
            <w:right w:w="108" w:type="dxa"/>
          </w:tblCellMar>
        </w:tblPrEx>
        <w:trPr>
          <w:trHeight w:val="285" w:hRule="atLeast"/>
          <w:jc w:val="center"/>
        </w:trPr>
        <w:tc>
          <w:tcPr>
            <w:tcW w:w="628" w:type="pct"/>
            <w:vMerge w:val="restart"/>
            <w:tcBorders>
              <w:top w:val="single" w:color="000000" w:sz="4" w:space="0"/>
              <w:left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市民政局</w:t>
            </w:r>
          </w:p>
        </w:tc>
        <w:tc>
          <w:tcPr>
            <w:tcW w:w="212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第50项：社会团体成立、变更、注销登记及修改章程</w:t>
            </w:r>
          </w:p>
          <w:p>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根据《社会团体登记管理条例》（国务院令第250号 2016年2月6日经《国务院关于修改部分行政法规的决定》修订）第九条、第十八条、第十九条，建议将实施机关改为“洪江市民政局（实行登记管理机关和业务主管单位双重负责管理体制的，由有关业务主管单位实施前置审查）”。</w:t>
            </w:r>
          </w:p>
          <w:p>
            <w:pPr>
              <w:pStyle w:val="2"/>
              <w:rPr>
                <w:rFonts w:hint="eastAsia"/>
                <w:lang w:val="en-US" w:eastAsia="zh-CN"/>
              </w:rPr>
            </w:pPr>
          </w:p>
        </w:tc>
        <w:tc>
          <w:tcPr>
            <w:tcW w:w="616"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是</w:t>
            </w:r>
          </w:p>
        </w:tc>
        <w:tc>
          <w:tcPr>
            <w:tcW w:w="507"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rPr>
            </w:pPr>
          </w:p>
        </w:tc>
        <w:tc>
          <w:tcPr>
            <w:tcW w:w="1123" w:type="pct"/>
            <w:tcBorders>
              <w:top w:val="single" w:color="000000" w:sz="4" w:space="0"/>
              <w:left w:val="single" w:color="000000" w:sz="4" w:space="0"/>
              <w:bottom w:val="single" w:color="000000" w:sz="4" w:space="0"/>
              <w:right w:val="single" w:color="000000" w:sz="4" w:space="0"/>
            </w:tcBorders>
            <w:noWrap/>
            <w:vAlign w:val="center"/>
          </w:tcPr>
          <w:p>
            <w:pPr>
              <w:jc w:val="left"/>
              <w:rPr>
                <w:rFonts w:hint="eastAsia" w:ascii="仿宋_GB2312" w:hAnsi="仿宋_GB2312" w:eastAsia="仿宋_GB2312" w:cs="仿宋_GB2312"/>
                <w:i w:val="0"/>
                <w:iCs w:val="0"/>
                <w:color w:val="000000"/>
                <w:sz w:val="24"/>
                <w:szCs w:val="24"/>
                <w:u w:val="none"/>
                <w:lang w:val="en-US" w:eastAsia="zh-CN"/>
              </w:rPr>
            </w:pPr>
          </w:p>
        </w:tc>
      </w:tr>
      <w:tr>
        <w:tblPrEx>
          <w:tblCellMar>
            <w:top w:w="0" w:type="dxa"/>
            <w:left w:w="108" w:type="dxa"/>
            <w:bottom w:w="0" w:type="dxa"/>
            <w:right w:w="108" w:type="dxa"/>
          </w:tblCellMar>
        </w:tblPrEx>
        <w:trPr>
          <w:trHeight w:val="285" w:hRule="atLeast"/>
          <w:jc w:val="center"/>
        </w:trPr>
        <w:tc>
          <w:tcPr>
            <w:tcW w:w="628" w:type="pct"/>
            <w:vMerge w:val="continue"/>
            <w:tcBorders>
              <w:left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lang w:val="en-US" w:eastAsia="zh-CN"/>
              </w:rPr>
            </w:pPr>
          </w:p>
        </w:tc>
        <w:tc>
          <w:tcPr>
            <w:tcW w:w="212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第51项：民办非企业单位成立、变更、注销登记及修改章程核准</w:t>
            </w:r>
          </w:p>
          <w:p>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根据《中华人民共和国民办非企业单位登记管理暂行条例》（中华人民共和国国务院令〔1998〕第251号）第六条、第十五条、第十七条，建议将实施机关改为“洪江市民政局（实行登记管理机关和业务主管单位双重负责管理体制的，由有关业务主管单位实施前置审查）”。</w:t>
            </w:r>
          </w:p>
        </w:tc>
        <w:tc>
          <w:tcPr>
            <w:tcW w:w="616"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是</w:t>
            </w:r>
          </w:p>
        </w:tc>
        <w:tc>
          <w:tcPr>
            <w:tcW w:w="507"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rPr>
            </w:pPr>
          </w:p>
        </w:tc>
        <w:tc>
          <w:tcPr>
            <w:tcW w:w="1123" w:type="pct"/>
            <w:tcBorders>
              <w:top w:val="single" w:color="000000" w:sz="4" w:space="0"/>
              <w:left w:val="single" w:color="000000" w:sz="4" w:space="0"/>
              <w:bottom w:val="single" w:color="000000" w:sz="4" w:space="0"/>
              <w:right w:val="single" w:color="000000" w:sz="4" w:space="0"/>
            </w:tcBorders>
            <w:noWrap/>
            <w:vAlign w:val="center"/>
          </w:tcPr>
          <w:p>
            <w:pPr>
              <w:jc w:val="left"/>
              <w:rPr>
                <w:rFonts w:hint="eastAsia" w:ascii="仿宋_GB2312" w:hAnsi="仿宋_GB2312" w:eastAsia="仿宋_GB2312" w:cs="仿宋_GB2312"/>
                <w:i w:val="0"/>
                <w:iCs w:val="0"/>
                <w:color w:val="000000"/>
                <w:sz w:val="24"/>
                <w:szCs w:val="24"/>
                <w:u w:val="none"/>
                <w:lang w:val="en-US" w:eastAsia="zh-CN"/>
              </w:rPr>
            </w:pPr>
          </w:p>
        </w:tc>
      </w:tr>
      <w:tr>
        <w:tblPrEx>
          <w:tblCellMar>
            <w:top w:w="0" w:type="dxa"/>
            <w:left w:w="108" w:type="dxa"/>
            <w:bottom w:w="0" w:type="dxa"/>
            <w:right w:w="108" w:type="dxa"/>
          </w:tblCellMar>
        </w:tblPrEx>
        <w:trPr>
          <w:trHeight w:val="285" w:hRule="atLeast"/>
          <w:jc w:val="center"/>
        </w:trPr>
        <w:tc>
          <w:tcPr>
            <w:tcW w:w="628" w:type="pct"/>
            <w:vMerge w:val="continue"/>
            <w:tcBorders>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lang w:val="en-US" w:eastAsia="zh-CN"/>
              </w:rPr>
            </w:pPr>
          </w:p>
        </w:tc>
        <w:tc>
          <w:tcPr>
            <w:tcW w:w="212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第54项：殡葬设施建设审批</w:t>
            </w:r>
          </w:p>
          <w:p>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根据《殡葬管理条例》（1997年7月21日国务院令225号，2012年11月9日予以修改）第三条、第八条，建议将实施机关改为“洪江市人民政府、洪江市民政局”。</w:t>
            </w:r>
          </w:p>
        </w:tc>
        <w:tc>
          <w:tcPr>
            <w:tcW w:w="616"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lang w:val="en-US" w:eastAsia="zh-CN"/>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否</w:t>
            </w:r>
          </w:p>
        </w:tc>
        <w:tc>
          <w:tcPr>
            <w:tcW w:w="1123" w:type="pct"/>
            <w:tcBorders>
              <w:top w:val="single" w:color="000000" w:sz="4" w:space="0"/>
              <w:left w:val="single" w:color="000000" w:sz="4" w:space="0"/>
              <w:bottom w:val="single" w:color="000000" w:sz="4" w:space="0"/>
              <w:right w:val="single" w:color="000000" w:sz="4" w:space="0"/>
            </w:tcBorders>
            <w:noWrap/>
            <w:vAlign w:val="center"/>
          </w:tcPr>
          <w:p>
            <w:pPr>
              <w:jc w:val="left"/>
              <w:rPr>
                <w:rFonts w:hint="default"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实施机关需为具体部门</w:t>
            </w:r>
          </w:p>
        </w:tc>
      </w:tr>
      <w:tr>
        <w:tblPrEx>
          <w:tblCellMar>
            <w:top w:w="0" w:type="dxa"/>
            <w:left w:w="108" w:type="dxa"/>
            <w:bottom w:w="0" w:type="dxa"/>
            <w:right w:w="108" w:type="dxa"/>
          </w:tblCellMar>
        </w:tblPrEx>
        <w:trPr>
          <w:trHeight w:val="285" w:hRule="atLeast"/>
          <w:jc w:val="center"/>
        </w:trPr>
        <w:tc>
          <w:tcPr>
            <w:tcW w:w="62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市卫健局</w:t>
            </w:r>
          </w:p>
        </w:tc>
        <w:tc>
          <w:tcPr>
            <w:tcW w:w="212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第197项：单采血浆站设置审批</w:t>
            </w:r>
          </w:p>
          <w:p>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根据《血液制品管理条例》，设置在县级市，采浆区域应保证供浆员的数量，能满足原料血浆年采集量不少于30吨；单采血浆站不得与一般血站设置在同一县级行政区划内；经血传播的传染病流行或高发的地区不得规划设置单采血浆站；前一年度和本年度自愿无偿献血未能满足临床用血的设区的市辖区范围内不得新建单采血浆站。洪江市未达到单采血浆站设置标准，暂无权限，建议取消。</w:t>
            </w:r>
          </w:p>
        </w:tc>
        <w:tc>
          <w:tcPr>
            <w:tcW w:w="616"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否</w:t>
            </w:r>
          </w:p>
        </w:tc>
        <w:tc>
          <w:tcPr>
            <w:tcW w:w="1123" w:type="pct"/>
            <w:tcBorders>
              <w:top w:val="single" w:color="000000" w:sz="4" w:space="0"/>
              <w:left w:val="single" w:color="000000" w:sz="4" w:space="0"/>
              <w:bottom w:val="single" w:color="000000" w:sz="4" w:space="0"/>
              <w:right w:val="single" w:color="000000" w:sz="4" w:space="0"/>
            </w:tcBorders>
            <w:noWrap/>
            <w:vAlign w:val="center"/>
          </w:tcPr>
          <w:p>
            <w:pPr>
              <w:jc w:val="left"/>
              <w:rPr>
                <w:rFonts w:hint="default"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经与市司法局沟通，县级卫健部门有该审批权限</w:t>
            </w:r>
            <w:bookmarkStart w:id="0" w:name="_GoBack"/>
            <w:bookmarkEnd w:id="0"/>
          </w:p>
        </w:tc>
      </w:tr>
      <w:tr>
        <w:tblPrEx>
          <w:tblCellMar>
            <w:top w:w="0" w:type="dxa"/>
            <w:left w:w="108" w:type="dxa"/>
            <w:bottom w:w="0" w:type="dxa"/>
            <w:right w:w="108" w:type="dxa"/>
          </w:tblCellMar>
        </w:tblPrEx>
        <w:trPr>
          <w:trHeight w:val="285" w:hRule="atLeast"/>
          <w:jc w:val="center"/>
        </w:trPr>
        <w:tc>
          <w:tcPr>
            <w:tcW w:w="628" w:type="pct"/>
            <w:vMerge w:val="restart"/>
            <w:tcBorders>
              <w:top w:val="single" w:color="000000" w:sz="4" w:space="0"/>
              <w:left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中国人民银行洪江市支行</w:t>
            </w:r>
          </w:p>
        </w:tc>
        <w:tc>
          <w:tcPr>
            <w:tcW w:w="212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第245项：银行账户开户许可</w:t>
            </w:r>
          </w:p>
          <w:p>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根据《党和国家机构改革方案》，因机构改革，县支行将被取消，该业务已上收至怀化市分行，建议取消该两项。</w:t>
            </w:r>
          </w:p>
        </w:tc>
        <w:tc>
          <w:tcPr>
            <w:tcW w:w="616"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是</w:t>
            </w:r>
          </w:p>
        </w:tc>
        <w:tc>
          <w:tcPr>
            <w:tcW w:w="507"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rPr>
            </w:pPr>
          </w:p>
        </w:tc>
        <w:tc>
          <w:tcPr>
            <w:tcW w:w="1123" w:type="pct"/>
            <w:tcBorders>
              <w:top w:val="single" w:color="000000" w:sz="4" w:space="0"/>
              <w:left w:val="single" w:color="000000" w:sz="4" w:space="0"/>
              <w:bottom w:val="single" w:color="000000" w:sz="4" w:space="0"/>
              <w:right w:val="single" w:color="000000" w:sz="4" w:space="0"/>
            </w:tcBorders>
            <w:noWrap/>
            <w:vAlign w:val="center"/>
          </w:tcPr>
          <w:p>
            <w:pPr>
              <w:jc w:val="left"/>
              <w:rPr>
                <w:rFonts w:hint="eastAsia" w:ascii="仿宋_GB2312" w:hAnsi="仿宋_GB2312" w:eastAsia="仿宋_GB2312" w:cs="仿宋_GB2312"/>
                <w:i w:val="0"/>
                <w:iCs w:val="0"/>
                <w:color w:val="000000"/>
                <w:sz w:val="24"/>
                <w:szCs w:val="24"/>
                <w:u w:val="none"/>
              </w:rPr>
            </w:pPr>
          </w:p>
        </w:tc>
      </w:tr>
      <w:tr>
        <w:tblPrEx>
          <w:tblCellMar>
            <w:top w:w="0" w:type="dxa"/>
            <w:left w:w="108" w:type="dxa"/>
            <w:bottom w:w="0" w:type="dxa"/>
            <w:right w:w="108" w:type="dxa"/>
          </w:tblCellMar>
        </w:tblPrEx>
        <w:trPr>
          <w:trHeight w:val="285" w:hRule="atLeast"/>
          <w:jc w:val="center"/>
        </w:trPr>
        <w:tc>
          <w:tcPr>
            <w:tcW w:w="628" w:type="pct"/>
            <w:vMerge w:val="continue"/>
            <w:tcBorders>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lang w:val="en-US" w:eastAsia="zh-CN"/>
              </w:rPr>
            </w:pPr>
          </w:p>
        </w:tc>
        <w:tc>
          <w:tcPr>
            <w:tcW w:w="212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第246项：国库集中收付代理银行资格认定</w:t>
            </w:r>
          </w:p>
          <w:p>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根据《党和国家机构改革方案》，因机构改革，县支行将被取消，该业务已上收至怀化市分行，建议取消该两项。</w:t>
            </w:r>
          </w:p>
        </w:tc>
        <w:tc>
          <w:tcPr>
            <w:tcW w:w="616"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是</w:t>
            </w:r>
          </w:p>
        </w:tc>
        <w:tc>
          <w:tcPr>
            <w:tcW w:w="507"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rPr>
            </w:pPr>
          </w:p>
        </w:tc>
        <w:tc>
          <w:tcPr>
            <w:tcW w:w="1123" w:type="pct"/>
            <w:tcBorders>
              <w:top w:val="single" w:color="000000" w:sz="4" w:space="0"/>
              <w:left w:val="single" w:color="000000" w:sz="4" w:space="0"/>
              <w:bottom w:val="single" w:color="000000" w:sz="4" w:space="0"/>
              <w:right w:val="single" w:color="000000" w:sz="4" w:space="0"/>
            </w:tcBorders>
            <w:noWrap/>
            <w:vAlign w:val="center"/>
          </w:tcPr>
          <w:p>
            <w:pPr>
              <w:jc w:val="left"/>
              <w:rPr>
                <w:rFonts w:hint="eastAsia" w:ascii="仿宋_GB2312" w:hAnsi="仿宋_GB2312" w:eastAsia="仿宋_GB2312" w:cs="仿宋_GB2312"/>
                <w:i w:val="0"/>
                <w:iCs w:val="0"/>
                <w:color w:val="000000"/>
                <w:sz w:val="24"/>
                <w:szCs w:val="24"/>
                <w:u w:val="none"/>
              </w:rPr>
            </w:pPr>
          </w:p>
        </w:tc>
      </w:tr>
      <w:tr>
        <w:tblPrEx>
          <w:tblCellMar>
            <w:top w:w="0" w:type="dxa"/>
            <w:left w:w="108" w:type="dxa"/>
            <w:bottom w:w="0" w:type="dxa"/>
            <w:right w:w="108" w:type="dxa"/>
          </w:tblCellMar>
        </w:tblPrEx>
        <w:trPr>
          <w:trHeight w:val="285" w:hRule="atLeast"/>
          <w:jc w:val="center"/>
        </w:trPr>
        <w:tc>
          <w:tcPr>
            <w:tcW w:w="628" w:type="pct"/>
            <w:vMerge w:val="restart"/>
            <w:tcBorders>
              <w:top w:val="single" w:color="000000" w:sz="4" w:space="0"/>
              <w:left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市自然资源局</w:t>
            </w:r>
          </w:p>
        </w:tc>
        <w:tc>
          <w:tcPr>
            <w:tcW w:w="212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第62项：开采矿产资源审批</w:t>
            </w:r>
          </w:p>
          <w:p>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根据《湖南省办公厅关于印发&lt;湖南省普通建筑材料用砂石土矿专项整治行动方案（2019-2021年）&gt;的通知》（湘政办发〔2019〕54号），建议将实施机关调整为怀化市自然资源和规划局，洪江市自然资源局无权限。</w:t>
            </w:r>
          </w:p>
        </w:tc>
        <w:tc>
          <w:tcPr>
            <w:tcW w:w="616"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lang w:val="en-US" w:eastAsia="zh-CN"/>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否</w:t>
            </w:r>
          </w:p>
        </w:tc>
        <w:tc>
          <w:tcPr>
            <w:tcW w:w="1123"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经与司法局沟通，因市自然资源局提供的依据不充分不予采纳。</w:t>
            </w:r>
          </w:p>
        </w:tc>
      </w:tr>
      <w:tr>
        <w:tblPrEx>
          <w:tblCellMar>
            <w:top w:w="0" w:type="dxa"/>
            <w:left w:w="108" w:type="dxa"/>
            <w:bottom w:w="0" w:type="dxa"/>
            <w:right w:w="108" w:type="dxa"/>
          </w:tblCellMar>
        </w:tblPrEx>
        <w:trPr>
          <w:trHeight w:val="285" w:hRule="atLeast"/>
          <w:jc w:val="center"/>
        </w:trPr>
        <w:tc>
          <w:tcPr>
            <w:tcW w:w="628" w:type="pct"/>
            <w:vMerge w:val="continue"/>
            <w:tcBorders>
              <w:left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lang w:val="en-US" w:eastAsia="zh-CN"/>
              </w:rPr>
            </w:pPr>
          </w:p>
        </w:tc>
        <w:tc>
          <w:tcPr>
            <w:tcW w:w="212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第63项：法人或者其他组织需要利用属于国家秘密的基础测绘成果审批</w:t>
            </w:r>
          </w:p>
          <w:p>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建议将设定和实施依据改为“《中华人民共和国测绘成果管理条例》、《涉密基础测绘成果提供使用管理办法》（自然资规〔2023〕3号）”。</w:t>
            </w:r>
          </w:p>
        </w:tc>
        <w:tc>
          <w:tcPr>
            <w:tcW w:w="616"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lang w:val="en-US" w:eastAsia="zh-CN"/>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否</w:t>
            </w:r>
          </w:p>
        </w:tc>
        <w:tc>
          <w:tcPr>
            <w:tcW w:w="1123"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经与司法局沟通，因市自然资源局提供的依据不充分不予采纳。</w:t>
            </w:r>
          </w:p>
        </w:tc>
      </w:tr>
      <w:tr>
        <w:tblPrEx>
          <w:tblCellMar>
            <w:top w:w="0" w:type="dxa"/>
            <w:left w:w="108" w:type="dxa"/>
            <w:bottom w:w="0" w:type="dxa"/>
            <w:right w:w="108" w:type="dxa"/>
          </w:tblCellMar>
        </w:tblPrEx>
        <w:trPr>
          <w:trHeight w:val="285" w:hRule="atLeast"/>
          <w:jc w:val="center"/>
        </w:trPr>
        <w:tc>
          <w:tcPr>
            <w:tcW w:w="628" w:type="pct"/>
            <w:vMerge w:val="continue"/>
            <w:tcBorders>
              <w:left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lang w:val="en-US" w:eastAsia="zh-CN"/>
              </w:rPr>
            </w:pPr>
          </w:p>
        </w:tc>
        <w:tc>
          <w:tcPr>
            <w:tcW w:w="212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第66项：乡（镇）村企业使用集体建设用地审批</w:t>
            </w:r>
          </w:p>
          <w:p>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建议将设定和实施依据改为“《中华人民共和国土地管理法》、《湖南省实施&lt;中华人民共和国城乡规划法&gt;办法》”。</w:t>
            </w:r>
          </w:p>
        </w:tc>
        <w:tc>
          <w:tcPr>
            <w:tcW w:w="616"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lang w:val="en-US" w:eastAsia="zh-CN"/>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否</w:t>
            </w:r>
          </w:p>
        </w:tc>
        <w:tc>
          <w:tcPr>
            <w:tcW w:w="1123"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经与司法局沟通，因市自然资源局提供的依据不充分不予采纳。</w:t>
            </w:r>
          </w:p>
        </w:tc>
      </w:tr>
      <w:tr>
        <w:tblPrEx>
          <w:tblCellMar>
            <w:top w:w="0" w:type="dxa"/>
            <w:left w:w="108" w:type="dxa"/>
            <w:bottom w:w="0" w:type="dxa"/>
            <w:right w:w="108" w:type="dxa"/>
          </w:tblCellMar>
        </w:tblPrEx>
        <w:trPr>
          <w:trHeight w:val="285" w:hRule="atLeast"/>
          <w:jc w:val="center"/>
        </w:trPr>
        <w:tc>
          <w:tcPr>
            <w:tcW w:w="628" w:type="pct"/>
            <w:vMerge w:val="continue"/>
            <w:tcBorders>
              <w:left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lang w:val="en-US" w:eastAsia="zh-CN"/>
              </w:rPr>
            </w:pPr>
          </w:p>
        </w:tc>
        <w:tc>
          <w:tcPr>
            <w:tcW w:w="212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第67项：乡（镇）村公共设施、公益事业使用集体建设用地审批</w:t>
            </w:r>
          </w:p>
          <w:p>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建议将设定和实施依据改为“《中华人民共和国土地管理法》、《湖南省实施&lt;中华人民共和国城乡规划法&gt;办法》”。</w:t>
            </w:r>
          </w:p>
          <w:p>
            <w:pPr>
              <w:pStyle w:val="2"/>
              <w:rPr>
                <w:rFonts w:hint="eastAsia"/>
                <w:lang w:val="en-US" w:eastAsia="zh-CN"/>
              </w:rPr>
            </w:pPr>
          </w:p>
        </w:tc>
        <w:tc>
          <w:tcPr>
            <w:tcW w:w="616"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lang w:val="en-US" w:eastAsia="zh-CN"/>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否</w:t>
            </w:r>
          </w:p>
        </w:tc>
        <w:tc>
          <w:tcPr>
            <w:tcW w:w="1123"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经与司法局沟通，因市自然资源局提供的依据不充分不予采纳。</w:t>
            </w:r>
          </w:p>
        </w:tc>
      </w:tr>
      <w:tr>
        <w:tblPrEx>
          <w:tblCellMar>
            <w:top w:w="0" w:type="dxa"/>
            <w:left w:w="108" w:type="dxa"/>
            <w:bottom w:w="0" w:type="dxa"/>
            <w:right w:w="108" w:type="dxa"/>
          </w:tblCellMar>
        </w:tblPrEx>
        <w:trPr>
          <w:trHeight w:val="285" w:hRule="atLeast"/>
          <w:jc w:val="center"/>
        </w:trPr>
        <w:tc>
          <w:tcPr>
            <w:tcW w:w="628" w:type="pct"/>
            <w:vMerge w:val="continue"/>
            <w:tcBorders>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lang w:val="en-US" w:eastAsia="zh-CN"/>
              </w:rPr>
            </w:pPr>
          </w:p>
        </w:tc>
        <w:tc>
          <w:tcPr>
            <w:tcW w:w="212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第70项：建设工程、临时建设工程规划许可</w:t>
            </w:r>
          </w:p>
          <w:p>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建议将设定和实施依据改为“《中华人民共和国城乡规划法》、《湖南省实施&lt;中华人民共和国城乡规划法&gt;办法》”。</w:t>
            </w:r>
          </w:p>
        </w:tc>
        <w:tc>
          <w:tcPr>
            <w:tcW w:w="616"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lang w:val="en-US" w:eastAsia="zh-CN"/>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否</w:t>
            </w:r>
          </w:p>
        </w:tc>
        <w:tc>
          <w:tcPr>
            <w:tcW w:w="1123"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经与司法局沟通，因市自然资源局提供的依据不充分不予采纳。</w:t>
            </w:r>
          </w:p>
        </w:tc>
      </w:tr>
      <w:tr>
        <w:tblPrEx>
          <w:tblCellMar>
            <w:top w:w="0" w:type="dxa"/>
            <w:left w:w="108" w:type="dxa"/>
            <w:bottom w:w="0" w:type="dxa"/>
            <w:right w:w="108" w:type="dxa"/>
          </w:tblCellMar>
        </w:tblPrEx>
        <w:trPr>
          <w:trHeight w:val="285" w:hRule="atLeast"/>
          <w:jc w:val="center"/>
        </w:trPr>
        <w:tc>
          <w:tcPr>
            <w:tcW w:w="62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市气象局</w:t>
            </w:r>
          </w:p>
        </w:tc>
        <w:tc>
          <w:tcPr>
            <w:tcW w:w="212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auto"/>
                <w:sz w:val="24"/>
                <w:szCs w:val="24"/>
                <w:u w:val="none"/>
                <w:lang w:val="en-US" w:eastAsia="zh-CN"/>
              </w:rPr>
              <w:t>根据《中华人民共和国气象法》，《气象设施和气象探测环境保护条例》第五条、第十七条，《新建扩建改建建设工程避免危害气象探测环境行政许可管理办法》第四条第三款，建议增加“新建、扩建、改建建设工程避免危害气象探测环境审批”</w:t>
            </w:r>
          </w:p>
        </w:tc>
        <w:tc>
          <w:tcPr>
            <w:tcW w:w="616"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lang w:val="en-US" w:eastAsia="zh-CN"/>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否</w:t>
            </w:r>
          </w:p>
        </w:tc>
        <w:tc>
          <w:tcPr>
            <w:tcW w:w="1123"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经与司法局沟通，因市气象局提供的依据不充分不予采纳，不认领。</w:t>
            </w:r>
          </w:p>
        </w:tc>
      </w:tr>
      <w:tr>
        <w:tblPrEx>
          <w:tblCellMar>
            <w:top w:w="0" w:type="dxa"/>
            <w:left w:w="108" w:type="dxa"/>
            <w:bottom w:w="0" w:type="dxa"/>
            <w:right w:w="108" w:type="dxa"/>
          </w:tblCellMar>
        </w:tblPrEx>
        <w:trPr>
          <w:trHeight w:val="285" w:hRule="atLeast"/>
          <w:jc w:val="center"/>
        </w:trPr>
        <w:tc>
          <w:tcPr>
            <w:tcW w:w="628" w:type="pct"/>
            <w:vMerge w:val="restart"/>
            <w:tcBorders>
              <w:top w:val="single" w:color="000000" w:sz="4" w:space="0"/>
              <w:left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市城管局</w:t>
            </w:r>
          </w:p>
        </w:tc>
        <w:tc>
          <w:tcPr>
            <w:tcW w:w="212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1、第79项：拆除、改动城镇排水与污水处理设施审核</w:t>
            </w:r>
          </w:p>
          <w:p>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建议将实施机关改为洪江市住房和城乡建设局。</w:t>
            </w:r>
          </w:p>
        </w:tc>
        <w:tc>
          <w:tcPr>
            <w:tcW w:w="616"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是</w:t>
            </w:r>
          </w:p>
        </w:tc>
        <w:tc>
          <w:tcPr>
            <w:tcW w:w="507"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rPr>
            </w:pPr>
          </w:p>
        </w:tc>
        <w:tc>
          <w:tcPr>
            <w:tcW w:w="1123"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rPr>
            </w:pPr>
          </w:p>
        </w:tc>
      </w:tr>
      <w:tr>
        <w:tblPrEx>
          <w:tblCellMar>
            <w:top w:w="0" w:type="dxa"/>
            <w:left w:w="108" w:type="dxa"/>
            <w:bottom w:w="0" w:type="dxa"/>
            <w:right w:w="108" w:type="dxa"/>
          </w:tblCellMar>
        </w:tblPrEx>
        <w:trPr>
          <w:trHeight w:val="285" w:hRule="atLeast"/>
          <w:jc w:val="center"/>
        </w:trPr>
        <w:tc>
          <w:tcPr>
            <w:tcW w:w="628" w:type="pct"/>
            <w:vMerge w:val="continue"/>
            <w:tcBorders>
              <w:left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lang w:val="en-US" w:eastAsia="zh-CN"/>
              </w:rPr>
            </w:pPr>
          </w:p>
        </w:tc>
        <w:tc>
          <w:tcPr>
            <w:tcW w:w="212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第93项：拆除、改动、迁移城市公共供水设施审核</w:t>
            </w:r>
          </w:p>
          <w:p>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建议将实施机关改为洪江市稻沅水务公司。</w:t>
            </w:r>
          </w:p>
          <w:p>
            <w:pPr>
              <w:pStyle w:val="2"/>
              <w:rPr>
                <w:rFonts w:hint="eastAsia"/>
                <w:lang w:val="en-US" w:eastAsia="zh-CN"/>
              </w:rPr>
            </w:pPr>
          </w:p>
        </w:tc>
        <w:tc>
          <w:tcPr>
            <w:tcW w:w="616"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仿宋_GB2312" w:hAnsi="仿宋_GB2312" w:eastAsia="仿宋_GB2312" w:cs="仿宋_GB2312"/>
                <w:i w:val="0"/>
                <w:iCs w:val="0"/>
                <w:color w:val="000000"/>
                <w:sz w:val="24"/>
                <w:szCs w:val="24"/>
                <w:u w:val="none"/>
                <w:lang w:val="en-US" w:eastAsia="zh-CN"/>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否</w:t>
            </w:r>
          </w:p>
        </w:tc>
        <w:tc>
          <w:tcPr>
            <w:tcW w:w="1123"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经与市司法局沟通，将该事项的实施机关改为“洪江市住房和城乡建设局”</w:t>
            </w:r>
          </w:p>
        </w:tc>
      </w:tr>
      <w:tr>
        <w:tblPrEx>
          <w:tblCellMar>
            <w:top w:w="0" w:type="dxa"/>
            <w:left w:w="108" w:type="dxa"/>
            <w:bottom w:w="0" w:type="dxa"/>
            <w:right w:w="108" w:type="dxa"/>
          </w:tblCellMar>
        </w:tblPrEx>
        <w:trPr>
          <w:trHeight w:val="285" w:hRule="atLeast"/>
          <w:jc w:val="center"/>
        </w:trPr>
        <w:tc>
          <w:tcPr>
            <w:tcW w:w="628" w:type="pct"/>
            <w:vMerge w:val="continue"/>
            <w:tcBorders>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lang w:val="en-US" w:eastAsia="zh-CN"/>
              </w:rPr>
            </w:pPr>
          </w:p>
        </w:tc>
        <w:tc>
          <w:tcPr>
            <w:tcW w:w="212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第94项：由于工程施工、设备维修等原因确需停止供水的审批</w:t>
            </w:r>
          </w:p>
          <w:p>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建议将实施机关改为洪江市稻沅水务公司。</w:t>
            </w:r>
          </w:p>
        </w:tc>
        <w:tc>
          <w:tcPr>
            <w:tcW w:w="616"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仿宋_GB2312" w:hAnsi="仿宋_GB2312" w:eastAsia="仿宋_GB2312" w:cs="仿宋_GB2312"/>
                <w:i w:val="0"/>
                <w:iCs w:val="0"/>
                <w:color w:val="000000"/>
                <w:sz w:val="24"/>
                <w:szCs w:val="24"/>
                <w:u w:val="none"/>
                <w:lang w:val="en-US" w:eastAsia="zh-CN"/>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否</w:t>
            </w:r>
          </w:p>
        </w:tc>
        <w:tc>
          <w:tcPr>
            <w:tcW w:w="1123"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sz w:val="24"/>
                <w:szCs w:val="24"/>
                <w:u w:val="none"/>
                <w:lang w:val="en-US" w:eastAsia="zh-CN"/>
              </w:rPr>
              <w:t>经与市司法局沟通，将该事项的实施机关改为“洪江市住房和城乡建设局”</w:t>
            </w:r>
          </w:p>
        </w:tc>
      </w:tr>
      <w:tr>
        <w:tblPrEx>
          <w:tblCellMar>
            <w:top w:w="0" w:type="dxa"/>
            <w:left w:w="108" w:type="dxa"/>
            <w:bottom w:w="0" w:type="dxa"/>
            <w:right w:w="108" w:type="dxa"/>
          </w:tblCellMar>
        </w:tblPrEx>
        <w:trPr>
          <w:trHeight w:val="285" w:hRule="atLeast"/>
          <w:jc w:val="center"/>
        </w:trPr>
        <w:tc>
          <w:tcPr>
            <w:tcW w:w="628" w:type="pct"/>
            <w:vMerge w:val="restart"/>
            <w:tcBorders>
              <w:top w:val="single" w:color="000000" w:sz="4" w:space="0"/>
              <w:left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市住建局</w:t>
            </w:r>
          </w:p>
        </w:tc>
        <w:tc>
          <w:tcPr>
            <w:tcW w:w="212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1、第82项：历史建筑实施原址保护审批</w:t>
            </w:r>
          </w:p>
          <w:p>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根据《历史文化名城名镇名村保护条例》第三十四条，建议将实施机关改为洪江市自然资源局、洪江市文化旅游广电体育局。</w:t>
            </w:r>
          </w:p>
        </w:tc>
        <w:tc>
          <w:tcPr>
            <w:tcW w:w="616"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是</w:t>
            </w:r>
          </w:p>
        </w:tc>
        <w:tc>
          <w:tcPr>
            <w:tcW w:w="507"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rPr>
            </w:pPr>
          </w:p>
        </w:tc>
        <w:tc>
          <w:tcPr>
            <w:tcW w:w="1123"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经与市司法局沟通，为规范表述，改成“洪江市自然资源局会同洪江市文化旅游广电体育局”</w:t>
            </w:r>
          </w:p>
        </w:tc>
      </w:tr>
      <w:tr>
        <w:tblPrEx>
          <w:tblCellMar>
            <w:top w:w="0" w:type="dxa"/>
            <w:left w:w="108" w:type="dxa"/>
            <w:bottom w:w="0" w:type="dxa"/>
            <w:right w:w="108" w:type="dxa"/>
          </w:tblCellMar>
        </w:tblPrEx>
        <w:trPr>
          <w:trHeight w:val="285" w:hRule="atLeast"/>
          <w:jc w:val="center"/>
        </w:trPr>
        <w:tc>
          <w:tcPr>
            <w:tcW w:w="628" w:type="pct"/>
            <w:vMerge w:val="continue"/>
            <w:tcBorders>
              <w:left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lang w:val="en-US" w:eastAsia="zh-CN"/>
              </w:rPr>
            </w:pPr>
          </w:p>
        </w:tc>
        <w:tc>
          <w:tcPr>
            <w:tcW w:w="212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第83项：历史文化街区、名镇、名村核心保护范围内拆除历史建筑以外的建筑物、构筑物或者其他设施审批</w:t>
            </w:r>
          </w:p>
          <w:p>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根据《历史文化名城名镇名村保护条例》第二十八条，建议将实施机关改为洪江市自然资源局、洪江市文化旅游广电体育局。</w:t>
            </w:r>
          </w:p>
        </w:tc>
        <w:tc>
          <w:tcPr>
            <w:tcW w:w="616"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是</w:t>
            </w:r>
          </w:p>
        </w:tc>
        <w:tc>
          <w:tcPr>
            <w:tcW w:w="507"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rPr>
            </w:pPr>
          </w:p>
        </w:tc>
        <w:tc>
          <w:tcPr>
            <w:tcW w:w="1123"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sz w:val="24"/>
                <w:szCs w:val="24"/>
                <w:u w:val="none"/>
                <w:lang w:val="en-US" w:eastAsia="zh-CN"/>
              </w:rPr>
              <w:t>经与市司法局沟通，为规范表述，改成“洪江市自然资源局会同洪江市文化旅游广电体育局”</w:t>
            </w:r>
          </w:p>
        </w:tc>
      </w:tr>
      <w:tr>
        <w:tblPrEx>
          <w:tblCellMar>
            <w:top w:w="0" w:type="dxa"/>
            <w:left w:w="108" w:type="dxa"/>
            <w:bottom w:w="0" w:type="dxa"/>
            <w:right w:w="108" w:type="dxa"/>
          </w:tblCellMar>
        </w:tblPrEx>
        <w:trPr>
          <w:trHeight w:val="285" w:hRule="atLeast"/>
          <w:jc w:val="center"/>
        </w:trPr>
        <w:tc>
          <w:tcPr>
            <w:tcW w:w="628" w:type="pct"/>
            <w:vMerge w:val="continue"/>
            <w:tcBorders>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lang w:val="en-US" w:eastAsia="zh-CN"/>
              </w:rPr>
            </w:pPr>
          </w:p>
        </w:tc>
        <w:tc>
          <w:tcPr>
            <w:tcW w:w="212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第84项：历史建筑外部修缮装饰、添加设施以及改变历史建筑的结构或者使用性质审批</w:t>
            </w:r>
          </w:p>
          <w:p>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根据《历史文化名城名镇名村保护条例》第三十五条，建议将实施机关改为洪江市自然资源局、洪江市文化旅游广电体育局。</w:t>
            </w:r>
          </w:p>
        </w:tc>
        <w:tc>
          <w:tcPr>
            <w:tcW w:w="616"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是</w:t>
            </w:r>
          </w:p>
        </w:tc>
        <w:tc>
          <w:tcPr>
            <w:tcW w:w="507"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rPr>
            </w:pPr>
          </w:p>
        </w:tc>
        <w:tc>
          <w:tcPr>
            <w:tcW w:w="1123"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sz w:val="24"/>
                <w:szCs w:val="24"/>
                <w:u w:val="none"/>
                <w:lang w:val="en-US" w:eastAsia="zh-CN"/>
              </w:rPr>
              <w:t>经与市司法局沟通，为规范表述，改成“洪江市自然资源局会同洪江市文化旅游广电体育局”</w:t>
            </w:r>
          </w:p>
        </w:tc>
      </w:tr>
      <w:tr>
        <w:tblPrEx>
          <w:tblCellMar>
            <w:top w:w="0" w:type="dxa"/>
            <w:left w:w="108" w:type="dxa"/>
            <w:bottom w:w="0" w:type="dxa"/>
            <w:right w:w="108" w:type="dxa"/>
          </w:tblCellMar>
        </w:tblPrEx>
        <w:trPr>
          <w:trHeight w:val="285" w:hRule="atLeast"/>
          <w:jc w:val="center"/>
        </w:trPr>
        <w:tc>
          <w:tcPr>
            <w:tcW w:w="62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市农业农村局</w:t>
            </w:r>
          </w:p>
        </w:tc>
        <w:tc>
          <w:tcPr>
            <w:tcW w:w="212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第160项：工商企业等社会资本通过流转取得土地经营权审批</w:t>
            </w:r>
          </w:p>
          <w:p>
            <w:pPr>
              <w:keepNext w:val="0"/>
              <w:keepLines w:val="0"/>
              <w:widowControl/>
              <w:suppressLineNumbers w:val="0"/>
              <w:jc w:val="left"/>
              <w:textAlignment w:val="center"/>
              <w:rPr>
                <w:rFonts w:hint="eastAsia" w:ascii="仿宋_GB2312" w:hAnsi="仿宋_GB2312" w:eastAsia="仿宋_GB2312" w:cs="仿宋_GB2312"/>
                <w:i w:val="0"/>
                <w:iCs w:val="0"/>
                <w:color w:val="000000"/>
                <w:kern w:val="2"/>
                <w:sz w:val="24"/>
                <w:szCs w:val="24"/>
                <w:u w:val="none"/>
                <w:lang w:val="en-US" w:eastAsia="zh-CN" w:bidi="ar-SA"/>
              </w:rPr>
            </w:pPr>
            <w:r>
              <w:rPr>
                <w:rFonts w:hint="eastAsia" w:ascii="仿宋_GB2312" w:hAnsi="仿宋_GB2312" w:eastAsia="仿宋_GB2312" w:cs="仿宋_GB2312"/>
                <w:i w:val="0"/>
                <w:iCs w:val="0"/>
                <w:color w:val="000000"/>
                <w:sz w:val="24"/>
                <w:szCs w:val="24"/>
                <w:u w:val="none"/>
                <w:lang w:val="en-US" w:eastAsia="zh-CN"/>
              </w:rPr>
              <w:t>建议将该事项实施机关改为乡镇人民政府</w:t>
            </w:r>
          </w:p>
        </w:tc>
        <w:tc>
          <w:tcPr>
            <w:tcW w:w="616"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否</w:t>
            </w:r>
          </w:p>
        </w:tc>
        <w:tc>
          <w:tcPr>
            <w:tcW w:w="1123"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经与市司法局沟通，将实施机关改为“洪江市农业农村局、乡镇人民政府”</w:t>
            </w:r>
          </w:p>
        </w:tc>
      </w:tr>
      <w:tr>
        <w:tblPrEx>
          <w:tblCellMar>
            <w:top w:w="0" w:type="dxa"/>
            <w:left w:w="108" w:type="dxa"/>
            <w:bottom w:w="0" w:type="dxa"/>
            <w:right w:w="108" w:type="dxa"/>
          </w:tblCellMar>
        </w:tblPrEx>
        <w:trPr>
          <w:trHeight w:val="285" w:hRule="atLeast"/>
          <w:jc w:val="center"/>
        </w:trPr>
        <w:tc>
          <w:tcPr>
            <w:tcW w:w="628" w:type="pct"/>
            <w:vMerge w:val="restart"/>
            <w:tcBorders>
              <w:top w:val="single" w:color="000000" w:sz="4" w:space="0"/>
              <w:left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市市场监管局</w:t>
            </w:r>
          </w:p>
        </w:tc>
        <w:tc>
          <w:tcPr>
            <w:tcW w:w="212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第226项：食品生产许可</w:t>
            </w:r>
          </w:p>
          <w:p>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根据《食品安全管理办法》第七条：省、自治区、直辖市市场监督管理部门可以根据食品类别和食品安全风险状况，确定市、县级市场监督管理部门的食品生产许可管理权限。我局暂未收到上级部门的许可授权，建议取消该事项。</w:t>
            </w:r>
          </w:p>
        </w:tc>
        <w:tc>
          <w:tcPr>
            <w:tcW w:w="616"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是</w:t>
            </w:r>
          </w:p>
        </w:tc>
        <w:tc>
          <w:tcPr>
            <w:tcW w:w="507"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rPr>
            </w:pPr>
          </w:p>
        </w:tc>
        <w:tc>
          <w:tcPr>
            <w:tcW w:w="1123"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rPr>
            </w:pPr>
          </w:p>
        </w:tc>
      </w:tr>
      <w:tr>
        <w:tblPrEx>
          <w:tblCellMar>
            <w:top w:w="0" w:type="dxa"/>
            <w:left w:w="108" w:type="dxa"/>
            <w:bottom w:w="0" w:type="dxa"/>
            <w:right w:w="108" w:type="dxa"/>
          </w:tblCellMar>
        </w:tblPrEx>
        <w:trPr>
          <w:trHeight w:val="285" w:hRule="atLeast"/>
          <w:jc w:val="center"/>
        </w:trPr>
        <w:tc>
          <w:tcPr>
            <w:tcW w:w="628" w:type="pct"/>
            <w:vMerge w:val="continue"/>
            <w:tcBorders>
              <w:left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lang w:val="en-US" w:eastAsia="zh-CN"/>
              </w:rPr>
            </w:pPr>
          </w:p>
        </w:tc>
        <w:tc>
          <w:tcPr>
            <w:tcW w:w="212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第227项：食品添加剂生产许可</w:t>
            </w:r>
          </w:p>
          <w:p>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根据《食品安全管理办法》第七条：省、自治区、直辖市市场监督管理部门可以根据食品类别和食品安全风险状况，确定市、县级市场监督管理部门的食品生产许可管理权限。我局暂未收到上级部门的许可授权，建议取消该事项。</w:t>
            </w:r>
          </w:p>
        </w:tc>
        <w:tc>
          <w:tcPr>
            <w:tcW w:w="616"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是</w:t>
            </w:r>
          </w:p>
        </w:tc>
        <w:tc>
          <w:tcPr>
            <w:tcW w:w="507"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rPr>
            </w:pPr>
          </w:p>
        </w:tc>
        <w:tc>
          <w:tcPr>
            <w:tcW w:w="1123"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rPr>
            </w:pPr>
          </w:p>
        </w:tc>
      </w:tr>
      <w:tr>
        <w:tblPrEx>
          <w:tblCellMar>
            <w:top w:w="0" w:type="dxa"/>
            <w:left w:w="108" w:type="dxa"/>
            <w:bottom w:w="0" w:type="dxa"/>
            <w:right w:w="108" w:type="dxa"/>
          </w:tblCellMar>
        </w:tblPrEx>
        <w:trPr>
          <w:trHeight w:val="285" w:hRule="atLeast"/>
          <w:jc w:val="center"/>
        </w:trPr>
        <w:tc>
          <w:tcPr>
            <w:tcW w:w="628" w:type="pct"/>
            <w:vMerge w:val="continue"/>
            <w:tcBorders>
              <w:left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lang w:val="en-US" w:eastAsia="zh-CN"/>
              </w:rPr>
            </w:pPr>
          </w:p>
        </w:tc>
        <w:tc>
          <w:tcPr>
            <w:tcW w:w="212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第229项：特种设备安全管理和作业人员资格认定</w:t>
            </w:r>
          </w:p>
          <w:p>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县局权限仅限于特种设备安全管理。根据“《国务院关于取消和下放一批行政审批项目的决定》（国发〔2014〕5号）”特种设备作业人员资格认定下放至省级，县级无权限。</w:t>
            </w:r>
          </w:p>
        </w:tc>
        <w:tc>
          <w:tcPr>
            <w:tcW w:w="616"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否</w:t>
            </w:r>
          </w:p>
        </w:tc>
        <w:tc>
          <w:tcPr>
            <w:tcW w:w="1123"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部分有权限，依旧要认领。</w:t>
            </w:r>
          </w:p>
        </w:tc>
      </w:tr>
      <w:tr>
        <w:tblPrEx>
          <w:tblCellMar>
            <w:top w:w="0" w:type="dxa"/>
            <w:left w:w="108" w:type="dxa"/>
            <w:bottom w:w="0" w:type="dxa"/>
            <w:right w:w="108" w:type="dxa"/>
          </w:tblCellMar>
        </w:tblPrEx>
        <w:trPr>
          <w:trHeight w:val="285" w:hRule="atLeast"/>
          <w:jc w:val="center"/>
        </w:trPr>
        <w:tc>
          <w:tcPr>
            <w:tcW w:w="628" w:type="pct"/>
            <w:vMerge w:val="continue"/>
            <w:tcBorders>
              <w:left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lang w:val="en-US" w:eastAsia="zh-CN"/>
              </w:rPr>
            </w:pPr>
          </w:p>
        </w:tc>
        <w:tc>
          <w:tcPr>
            <w:tcW w:w="212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第235项：药品零售企业筹建审批</w:t>
            </w:r>
          </w:p>
          <w:p>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2019年新修订的《药品管理法》已取消该事项的相关内容，建议取消该事项。</w:t>
            </w:r>
          </w:p>
        </w:tc>
        <w:tc>
          <w:tcPr>
            <w:tcW w:w="616"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否</w:t>
            </w:r>
          </w:p>
        </w:tc>
        <w:tc>
          <w:tcPr>
            <w:tcW w:w="1123"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经与市司法局沟通，因省、怀化市清单均未取消该事项，故不予采纳。</w:t>
            </w:r>
          </w:p>
        </w:tc>
      </w:tr>
      <w:tr>
        <w:tblPrEx>
          <w:tblCellMar>
            <w:top w:w="0" w:type="dxa"/>
            <w:left w:w="108" w:type="dxa"/>
            <w:bottom w:w="0" w:type="dxa"/>
            <w:right w:w="108" w:type="dxa"/>
          </w:tblCellMar>
        </w:tblPrEx>
        <w:trPr>
          <w:trHeight w:val="285" w:hRule="atLeast"/>
          <w:jc w:val="center"/>
        </w:trPr>
        <w:tc>
          <w:tcPr>
            <w:tcW w:w="628" w:type="pct"/>
            <w:vMerge w:val="continue"/>
            <w:tcBorders>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lang w:val="en-US" w:eastAsia="zh-CN"/>
              </w:rPr>
            </w:pPr>
          </w:p>
        </w:tc>
        <w:tc>
          <w:tcPr>
            <w:tcW w:w="212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第237项：科研和教学用毒性药品购买审批</w:t>
            </w:r>
          </w:p>
          <w:p>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我局无权限。依据《医疗用毒性药品管理办法》第十条　科研和教学单位所需的毒性药品，必须持本单位的证明信，经单位所在地县以上卫生行政部门批准后，供应部门方能发售。</w:t>
            </w:r>
          </w:p>
        </w:tc>
        <w:tc>
          <w:tcPr>
            <w:tcW w:w="616"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是</w:t>
            </w:r>
          </w:p>
        </w:tc>
        <w:tc>
          <w:tcPr>
            <w:tcW w:w="507"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rPr>
            </w:pPr>
          </w:p>
        </w:tc>
        <w:tc>
          <w:tcPr>
            <w:tcW w:w="1123"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经与市司法局沟通，将实施机关改为“洪江市卫生健康局”</w:t>
            </w:r>
          </w:p>
        </w:tc>
      </w:tr>
      <w:tr>
        <w:tblPrEx>
          <w:tblCellMar>
            <w:top w:w="0" w:type="dxa"/>
            <w:left w:w="108" w:type="dxa"/>
            <w:bottom w:w="0" w:type="dxa"/>
            <w:right w:w="108" w:type="dxa"/>
          </w:tblCellMar>
        </w:tblPrEx>
        <w:trPr>
          <w:trHeight w:val="285" w:hRule="atLeast"/>
          <w:jc w:val="center"/>
        </w:trPr>
        <w:tc>
          <w:tcPr>
            <w:tcW w:w="62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市人防办</w:t>
            </w:r>
          </w:p>
        </w:tc>
        <w:tc>
          <w:tcPr>
            <w:tcW w:w="212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无</w:t>
            </w:r>
          </w:p>
        </w:tc>
        <w:tc>
          <w:tcPr>
            <w:tcW w:w="616"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rPr>
            </w:pPr>
          </w:p>
        </w:tc>
        <w:tc>
          <w:tcPr>
            <w:tcW w:w="1123"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rPr>
            </w:pPr>
          </w:p>
        </w:tc>
      </w:tr>
      <w:tr>
        <w:tblPrEx>
          <w:tblCellMar>
            <w:top w:w="0" w:type="dxa"/>
            <w:left w:w="108" w:type="dxa"/>
            <w:bottom w:w="0" w:type="dxa"/>
            <w:right w:w="108" w:type="dxa"/>
          </w:tblCellMar>
        </w:tblPrEx>
        <w:trPr>
          <w:trHeight w:val="285" w:hRule="atLeast"/>
          <w:jc w:val="center"/>
        </w:trPr>
        <w:tc>
          <w:tcPr>
            <w:tcW w:w="62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市交通局</w:t>
            </w:r>
          </w:p>
        </w:tc>
        <w:tc>
          <w:tcPr>
            <w:tcW w:w="212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无</w:t>
            </w:r>
          </w:p>
        </w:tc>
        <w:tc>
          <w:tcPr>
            <w:tcW w:w="616"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rPr>
            </w:pPr>
          </w:p>
        </w:tc>
        <w:tc>
          <w:tcPr>
            <w:tcW w:w="1123"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rPr>
            </w:pPr>
          </w:p>
        </w:tc>
      </w:tr>
      <w:tr>
        <w:tblPrEx>
          <w:tblCellMar>
            <w:top w:w="0" w:type="dxa"/>
            <w:left w:w="108" w:type="dxa"/>
            <w:bottom w:w="0" w:type="dxa"/>
            <w:right w:w="108" w:type="dxa"/>
          </w:tblCellMar>
        </w:tblPrEx>
        <w:trPr>
          <w:trHeight w:val="285" w:hRule="atLeast"/>
          <w:jc w:val="center"/>
        </w:trPr>
        <w:tc>
          <w:tcPr>
            <w:tcW w:w="62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市文旅广体局</w:t>
            </w:r>
          </w:p>
        </w:tc>
        <w:tc>
          <w:tcPr>
            <w:tcW w:w="212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无</w:t>
            </w:r>
          </w:p>
        </w:tc>
        <w:tc>
          <w:tcPr>
            <w:tcW w:w="616"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rPr>
            </w:pPr>
          </w:p>
        </w:tc>
        <w:tc>
          <w:tcPr>
            <w:tcW w:w="1123"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rPr>
            </w:pPr>
          </w:p>
        </w:tc>
      </w:tr>
      <w:tr>
        <w:tblPrEx>
          <w:tblCellMar>
            <w:top w:w="0" w:type="dxa"/>
            <w:left w:w="108" w:type="dxa"/>
            <w:bottom w:w="0" w:type="dxa"/>
            <w:right w:w="108" w:type="dxa"/>
          </w:tblCellMar>
        </w:tblPrEx>
        <w:trPr>
          <w:trHeight w:val="285" w:hRule="atLeast"/>
          <w:jc w:val="center"/>
        </w:trPr>
        <w:tc>
          <w:tcPr>
            <w:tcW w:w="62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市生态环境分局</w:t>
            </w:r>
          </w:p>
        </w:tc>
        <w:tc>
          <w:tcPr>
            <w:tcW w:w="212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无</w:t>
            </w:r>
          </w:p>
        </w:tc>
        <w:tc>
          <w:tcPr>
            <w:tcW w:w="616"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rPr>
            </w:pPr>
          </w:p>
        </w:tc>
        <w:tc>
          <w:tcPr>
            <w:tcW w:w="1123"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rPr>
            </w:pPr>
          </w:p>
        </w:tc>
      </w:tr>
      <w:tr>
        <w:tblPrEx>
          <w:tblCellMar>
            <w:top w:w="0" w:type="dxa"/>
            <w:left w:w="108" w:type="dxa"/>
            <w:bottom w:w="0" w:type="dxa"/>
            <w:right w:w="108" w:type="dxa"/>
          </w:tblCellMar>
        </w:tblPrEx>
        <w:trPr>
          <w:trHeight w:val="285" w:hRule="atLeast"/>
          <w:jc w:val="center"/>
        </w:trPr>
        <w:tc>
          <w:tcPr>
            <w:tcW w:w="62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市财政局</w:t>
            </w:r>
          </w:p>
        </w:tc>
        <w:tc>
          <w:tcPr>
            <w:tcW w:w="212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无</w:t>
            </w:r>
          </w:p>
        </w:tc>
        <w:tc>
          <w:tcPr>
            <w:tcW w:w="616"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rPr>
            </w:pPr>
          </w:p>
        </w:tc>
        <w:tc>
          <w:tcPr>
            <w:tcW w:w="1123"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rPr>
            </w:pPr>
          </w:p>
        </w:tc>
      </w:tr>
      <w:tr>
        <w:tblPrEx>
          <w:tblCellMar>
            <w:top w:w="0" w:type="dxa"/>
            <w:left w:w="108" w:type="dxa"/>
            <w:bottom w:w="0" w:type="dxa"/>
            <w:right w:w="108" w:type="dxa"/>
          </w:tblCellMar>
        </w:tblPrEx>
        <w:trPr>
          <w:trHeight w:val="285" w:hRule="atLeast"/>
          <w:jc w:val="center"/>
        </w:trPr>
        <w:tc>
          <w:tcPr>
            <w:tcW w:w="62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市公安局</w:t>
            </w:r>
          </w:p>
        </w:tc>
        <w:tc>
          <w:tcPr>
            <w:tcW w:w="212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无</w:t>
            </w:r>
          </w:p>
        </w:tc>
        <w:tc>
          <w:tcPr>
            <w:tcW w:w="616"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rPr>
            </w:pPr>
          </w:p>
        </w:tc>
        <w:tc>
          <w:tcPr>
            <w:tcW w:w="1123"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rPr>
            </w:pPr>
          </w:p>
        </w:tc>
      </w:tr>
      <w:tr>
        <w:tblPrEx>
          <w:tblCellMar>
            <w:top w:w="0" w:type="dxa"/>
            <w:left w:w="108" w:type="dxa"/>
            <w:bottom w:w="0" w:type="dxa"/>
            <w:right w:w="108" w:type="dxa"/>
          </w:tblCellMar>
        </w:tblPrEx>
        <w:trPr>
          <w:trHeight w:val="285" w:hRule="atLeast"/>
          <w:jc w:val="center"/>
        </w:trPr>
        <w:tc>
          <w:tcPr>
            <w:tcW w:w="62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市教育局</w:t>
            </w:r>
          </w:p>
        </w:tc>
        <w:tc>
          <w:tcPr>
            <w:tcW w:w="212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无</w:t>
            </w:r>
          </w:p>
        </w:tc>
        <w:tc>
          <w:tcPr>
            <w:tcW w:w="616"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rPr>
            </w:pPr>
          </w:p>
        </w:tc>
        <w:tc>
          <w:tcPr>
            <w:tcW w:w="1123"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rPr>
            </w:pPr>
          </w:p>
        </w:tc>
      </w:tr>
      <w:tr>
        <w:trPr>
          <w:trHeight w:val="285" w:hRule="atLeast"/>
          <w:jc w:val="center"/>
        </w:trPr>
        <w:tc>
          <w:tcPr>
            <w:tcW w:w="62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市委统战部（市民宗局）</w:t>
            </w:r>
          </w:p>
        </w:tc>
        <w:tc>
          <w:tcPr>
            <w:tcW w:w="212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无</w:t>
            </w:r>
          </w:p>
        </w:tc>
        <w:tc>
          <w:tcPr>
            <w:tcW w:w="616"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rPr>
            </w:pPr>
          </w:p>
        </w:tc>
        <w:tc>
          <w:tcPr>
            <w:tcW w:w="1123"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rPr>
            </w:pPr>
          </w:p>
        </w:tc>
      </w:tr>
      <w:tr>
        <w:tblPrEx>
          <w:tblCellMar>
            <w:top w:w="0" w:type="dxa"/>
            <w:left w:w="108" w:type="dxa"/>
            <w:bottom w:w="0" w:type="dxa"/>
            <w:right w:w="108" w:type="dxa"/>
          </w:tblCellMar>
        </w:tblPrEx>
        <w:trPr>
          <w:trHeight w:val="285" w:hRule="atLeast"/>
          <w:jc w:val="center"/>
        </w:trPr>
        <w:tc>
          <w:tcPr>
            <w:tcW w:w="62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市水利局</w:t>
            </w:r>
          </w:p>
        </w:tc>
        <w:tc>
          <w:tcPr>
            <w:tcW w:w="212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无</w:t>
            </w:r>
          </w:p>
        </w:tc>
        <w:tc>
          <w:tcPr>
            <w:tcW w:w="616"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rPr>
            </w:pPr>
          </w:p>
        </w:tc>
        <w:tc>
          <w:tcPr>
            <w:tcW w:w="1123"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rPr>
            </w:pPr>
          </w:p>
        </w:tc>
      </w:tr>
      <w:tr>
        <w:tblPrEx>
          <w:tblCellMar>
            <w:top w:w="0" w:type="dxa"/>
            <w:left w:w="108" w:type="dxa"/>
            <w:bottom w:w="0" w:type="dxa"/>
            <w:right w:w="108" w:type="dxa"/>
          </w:tblCellMar>
        </w:tblPrEx>
        <w:trPr>
          <w:trHeight w:val="285" w:hRule="atLeast"/>
          <w:jc w:val="center"/>
        </w:trPr>
        <w:tc>
          <w:tcPr>
            <w:tcW w:w="62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市委宣传部（市新闻出版局）</w:t>
            </w:r>
          </w:p>
        </w:tc>
        <w:tc>
          <w:tcPr>
            <w:tcW w:w="212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无</w:t>
            </w:r>
          </w:p>
        </w:tc>
        <w:tc>
          <w:tcPr>
            <w:tcW w:w="616"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rPr>
            </w:pPr>
          </w:p>
        </w:tc>
        <w:tc>
          <w:tcPr>
            <w:tcW w:w="1123"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rPr>
            </w:pPr>
          </w:p>
        </w:tc>
      </w:tr>
      <w:tr>
        <w:tblPrEx>
          <w:tblCellMar>
            <w:top w:w="0" w:type="dxa"/>
            <w:left w:w="108" w:type="dxa"/>
            <w:bottom w:w="0" w:type="dxa"/>
            <w:right w:w="108" w:type="dxa"/>
          </w:tblCellMar>
        </w:tblPrEx>
        <w:trPr>
          <w:trHeight w:val="285" w:hRule="atLeast"/>
          <w:jc w:val="center"/>
        </w:trPr>
        <w:tc>
          <w:tcPr>
            <w:tcW w:w="62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市发改局</w:t>
            </w:r>
          </w:p>
        </w:tc>
        <w:tc>
          <w:tcPr>
            <w:tcW w:w="212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无</w:t>
            </w:r>
          </w:p>
        </w:tc>
        <w:tc>
          <w:tcPr>
            <w:tcW w:w="616"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rPr>
            </w:pPr>
          </w:p>
        </w:tc>
        <w:tc>
          <w:tcPr>
            <w:tcW w:w="1123"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rPr>
            </w:pPr>
          </w:p>
        </w:tc>
      </w:tr>
      <w:tr>
        <w:tblPrEx>
          <w:tblCellMar>
            <w:top w:w="0" w:type="dxa"/>
            <w:left w:w="108" w:type="dxa"/>
            <w:bottom w:w="0" w:type="dxa"/>
            <w:right w:w="108" w:type="dxa"/>
          </w:tblCellMar>
        </w:tblPrEx>
        <w:trPr>
          <w:trHeight w:val="285" w:hRule="atLeast"/>
          <w:jc w:val="center"/>
        </w:trPr>
        <w:tc>
          <w:tcPr>
            <w:tcW w:w="62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市应急局</w:t>
            </w:r>
          </w:p>
        </w:tc>
        <w:tc>
          <w:tcPr>
            <w:tcW w:w="212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无</w:t>
            </w:r>
          </w:p>
        </w:tc>
        <w:tc>
          <w:tcPr>
            <w:tcW w:w="616"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rPr>
            </w:pPr>
          </w:p>
        </w:tc>
        <w:tc>
          <w:tcPr>
            <w:tcW w:w="1123"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rPr>
            </w:pPr>
          </w:p>
        </w:tc>
      </w:tr>
      <w:tr>
        <w:tblPrEx>
          <w:tblCellMar>
            <w:top w:w="0" w:type="dxa"/>
            <w:left w:w="108" w:type="dxa"/>
            <w:bottom w:w="0" w:type="dxa"/>
            <w:right w:w="108" w:type="dxa"/>
          </w:tblCellMar>
        </w:tblPrEx>
        <w:trPr>
          <w:trHeight w:val="285" w:hRule="atLeast"/>
          <w:jc w:val="center"/>
        </w:trPr>
        <w:tc>
          <w:tcPr>
            <w:tcW w:w="62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市税务局</w:t>
            </w:r>
          </w:p>
        </w:tc>
        <w:tc>
          <w:tcPr>
            <w:tcW w:w="212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无</w:t>
            </w:r>
          </w:p>
        </w:tc>
        <w:tc>
          <w:tcPr>
            <w:tcW w:w="616"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rPr>
            </w:pPr>
          </w:p>
        </w:tc>
        <w:tc>
          <w:tcPr>
            <w:tcW w:w="1123"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rPr>
            </w:pPr>
          </w:p>
        </w:tc>
      </w:tr>
      <w:tr>
        <w:tblPrEx>
          <w:tblCellMar>
            <w:top w:w="0" w:type="dxa"/>
            <w:left w:w="108" w:type="dxa"/>
            <w:bottom w:w="0" w:type="dxa"/>
            <w:right w:w="108" w:type="dxa"/>
          </w:tblCellMar>
        </w:tblPrEx>
        <w:trPr>
          <w:trHeight w:val="285" w:hRule="atLeast"/>
          <w:jc w:val="center"/>
        </w:trPr>
        <w:tc>
          <w:tcPr>
            <w:tcW w:w="62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市林业局</w:t>
            </w:r>
          </w:p>
        </w:tc>
        <w:tc>
          <w:tcPr>
            <w:tcW w:w="212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无</w:t>
            </w:r>
          </w:p>
        </w:tc>
        <w:tc>
          <w:tcPr>
            <w:tcW w:w="616"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rPr>
            </w:pPr>
          </w:p>
        </w:tc>
        <w:tc>
          <w:tcPr>
            <w:tcW w:w="1123"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rPr>
            </w:pPr>
          </w:p>
        </w:tc>
      </w:tr>
      <w:tr>
        <w:tblPrEx>
          <w:tblCellMar>
            <w:top w:w="0" w:type="dxa"/>
            <w:left w:w="108" w:type="dxa"/>
            <w:bottom w:w="0" w:type="dxa"/>
            <w:right w:w="108" w:type="dxa"/>
          </w:tblCellMar>
        </w:tblPrEx>
        <w:trPr>
          <w:trHeight w:val="285" w:hRule="atLeast"/>
          <w:jc w:val="center"/>
        </w:trPr>
        <w:tc>
          <w:tcPr>
            <w:tcW w:w="62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市人社局</w:t>
            </w:r>
          </w:p>
        </w:tc>
        <w:tc>
          <w:tcPr>
            <w:tcW w:w="212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2"/>
                <w:sz w:val="24"/>
                <w:szCs w:val="24"/>
                <w:u w:val="none"/>
                <w:lang w:val="en-US" w:eastAsia="zh-CN" w:bidi="ar-SA"/>
              </w:rPr>
            </w:pPr>
            <w:r>
              <w:rPr>
                <w:rFonts w:hint="eastAsia" w:ascii="仿宋_GB2312" w:hAnsi="仿宋_GB2312" w:eastAsia="仿宋_GB2312" w:cs="仿宋_GB2312"/>
                <w:i w:val="0"/>
                <w:iCs w:val="0"/>
                <w:color w:val="000000"/>
                <w:sz w:val="24"/>
                <w:szCs w:val="24"/>
                <w:u w:val="none"/>
                <w:lang w:val="en-US" w:eastAsia="zh-CN"/>
              </w:rPr>
              <w:t>无</w:t>
            </w:r>
          </w:p>
        </w:tc>
        <w:tc>
          <w:tcPr>
            <w:tcW w:w="616"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rPr>
            </w:pPr>
          </w:p>
        </w:tc>
        <w:tc>
          <w:tcPr>
            <w:tcW w:w="1123"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rPr>
            </w:pPr>
          </w:p>
        </w:tc>
      </w:tr>
      <w:tr>
        <w:tblPrEx>
          <w:tblCellMar>
            <w:top w:w="0" w:type="dxa"/>
            <w:left w:w="108" w:type="dxa"/>
            <w:bottom w:w="0" w:type="dxa"/>
            <w:right w:w="108" w:type="dxa"/>
          </w:tblCellMar>
        </w:tblPrEx>
        <w:trPr>
          <w:trHeight w:val="285" w:hRule="atLeast"/>
          <w:jc w:val="center"/>
        </w:trPr>
        <w:tc>
          <w:tcPr>
            <w:tcW w:w="62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市工信局</w:t>
            </w:r>
          </w:p>
        </w:tc>
        <w:tc>
          <w:tcPr>
            <w:tcW w:w="212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2"/>
                <w:sz w:val="24"/>
                <w:szCs w:val="24"/>
                <w:u w:val="none"/>
                <w:lang w:val="en-US" w:eastAsia="zh-CN" w:bidi="ar-SA"/>
              </w:rPr>
            </w:pPr>
            <w:r>
              <w:rPr>
                <w:rFonts w:hint="eastAsia" w:ascii="仿宋_GB2312" w:hAnsi="仿宋_GB2312" w:eastAsia="仿宋_GB2312" w:cs="仿宋_GB2312"/>
                <w:i w:val="0"/>
                <w:iCs w:val="0"/>
                <w:color w:val="000000"/>
                <w:sz w:val="24"/>
                <w:szCs w:val="24"/>
                <w:u w:val="none"/>
                <w:lang w:val="en-US" w:eastAsia="zh-CN"/>
              </w:rPr>
              <w:t>无</w:t>
            </w:r>
          </w:p>
        </w:tc>
        <w:tc>
          <w:tcPr>
            <w:tcW w:w="616"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rPr>
            </w:pPr>
          </w:p>
        </w:tc>
        <w:tc>
          <w:tcPr>
            <w:tcW w:w="1123"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rPr>
            </w:pPr>
          </w:p>
        </w:tc>
      </w:tr>
      <w:tr>
        <w:tblPrEx>
          <w:tblCellMar>
            <w:top w:w="0" w:type="dxa"/>
            <w:left w:w="108" w:type="dxa"/>
            <w:bottom w:w="0" w:type="dxa"/>
            <w:right w:w="108" w:type="dxa"/>
          </w:tblCellMar>
        </w:tblPrEx>
        <w:trPr>
          <w:trHeight w:val="285" w:hRule="atLeast"/>
          <w:jc w:val="center"/>
        </w:trPr>
        <w:tc>
          <w:tcPr>
            <w:tcW w:w="62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市消防救援大队</w:t>
            </w:r>
          </w:p>
        </w:tc>
        <w:tc>
          <w:tcPr>
            <w:tcW w:w="212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numPr>
                <w:ilvl w:val="0"/>
                <w:numId w:val="0"/>
              </w:numPr>
              <w:suppressLineNumbers w:val="0"/>
              <w:ind w:left="0" w:leftChars="0" w:firstLine="0" w:firstLineChars="0"/>
              <w:jc w:val="left"/>
              <w:textAlignment w:val="center"/>
              <w:rPr>
                <w:rFonts w:hint="eastAsia" w:ascii="仿宋_GB2312" w:hAnsi="仿宋_GB2312" w:eastAsia="仿宋_GB2312" w:cs="仿宋_GB2312"/>
                <w:i w:val="0"/>
                <w:iCs w:val="0"/>
                <w:color w:val="000000"/>
                <w:kern w:val="2"/>
                <w:sz w:val="24"/>
                <w:szCs w:val="24"/>
                <w:u w:val="none"/>
                <w:lang w:val="en-US" w:eastAsia="zh-CN" w:bidi="ar-SA"/>
              </w:rPr>
            </w:pPr>
            <w:r>
              <w:rPr>
                <w:rFonts w:hint="eastAsia" w:ascii="仿宋_GB2312" w:hAnsi="仿宋_GB2312" w:eastAsia="仿宋_GB2312" w:cs="仿宋_GB2312"/>
                <w:i w:val="0"/>
                <w:iCs w:val="0"/>
                <w:color w:val="000000"/>
                <w:sz w:val="24"/>
                <w:szCs w:val="24"/>
                <w:u w:val="none"/>
                <w:lang w:val="en-US" w:eastAsia="zh-CN"/>
              </w:rPr>
              <w:t>无</w:t>
            </w:r>
          </w:p>
        </w:tc>
        <w:tc>
          <w:tcPr>
            <w:tcW w:w="616"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rPr>
            </w:pPr>
          </w:p>
        </w:tc>
        <w:tc>
          <w:tcPr>
            <w:tcW w:w="1123"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rPr>
            </w:pPr>
          </w:p>
        </w:tc>
      </w:tr>
      <w:tr>
        <w:tblPrEx>
          <w:tblCellMar>
            <w:top w:w="0" w:type="dxa"/>
            <w:left w:w="108" w:type="dxa"/>
            <w:bottom w:w="0" w:type="dxa"/>
            <w:right w:w="108" w:type="dxa"/>
          </w:tblCellMar>
        </w:tblPrEx>
        <w:trPr>
          <w:trHeight w:val="285" w:hRule="atLeast"/>
          <w:jc w:val="center"/>
        </w:trPr>
        <w:tc>
          <w:tcPr>
            <w:tcW w:w="62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市档案局</w:t>
            </w:r>
          </w:p>
        </w:tc>
        <w:tc>
          <w:tcPr>
            <w:tcW w:w="212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2"/>
                <w:sz w:val="24"/>
                <w:szCs w:val="24"/>
                <w:u w:val="none"/>
                <w:lang w:val="en-US" w:eastAsia="zh-CN" w:bidi="ar-SA"/>
              </w:rPr>
            </w:pPr>
            <w:r>
              <w:rPr>
                <w:rFonts w:hint="eastAsia" w:ascii="仿宋_GB2312" w:hAnsi="仿宋_GB2312" w:eastAsia="仿宋_GB2312" w:cs="仿宋_GB2312"/>
                <w:i w:val="0"/>
                <w:iCs w:val="0"/>
                <w:color w:val="000000"/>
                <w:sz w:val="24"/>
                <w:szCs w:val="24"/>
                <w:u w:val="none"/>
                <w:lang w:val="en-US" w:eastAsia="zh-CN"/>
              </w:rPr>
              <w:t>无</w:t>
            </w:r>
          </w:p>
        </w:tc>
        <w:tc>
          <w:tcPr>
            <w:tcW w:w="616"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rPr>
            </w:pPr>
          </w:p>
        </w:tc>
        <w:tc>
          <w:tcPr>
            <w:tcW w:w="1123"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rPr>
            </w:pPr>
          </w:p>
        </w:tc>
      </w:tr>
      <w:tr>
        <w:tblPrEx>
          <w:tblCellMar>
            <w:top w:w="0" w:type="dxa"/>
            <w:left w:w="108" w:type="dxa"/>
            <w:bottom w:w="0" w:type="dxa"/>
            <w:right w:w="108" w:type="dxa"/>
          </w:tblCellMar>
        </w:tblPrEx>
        <w:trPr>
          <w:trHeight w:val="285" w:hRule="atLeast"/>
          <w:jc w:val="center"/>
        </w:trPr>
        <w:tc>
          <w:tcPr>
            <w:tcW w:w="62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市委编办（市事业单位登记管理局）</w:t>
            </w:r>
          </w:p>
        </w:tc>
        <w:tc>
          <w:tcPr>
            <w:tcW w:w="212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无</w:t>
            </w:r>
          </w:p>
        </w:tc>
        <w:tc>
          <w:tcPr>
            <w:tcW w:w="616"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rPr>
            </w:pPr>
          </w:p>
        </w:tc>
        <w:tc>
          <w:tcPr>
            <w:tcW w:w="1123"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rPr>
            </w:pPr>
          </w:p>
        </w:tc>
      </w:tr>
      <w:tr>
        <w:tblPrEx>
          <w:tblCellMar>
            <w:top w:w="0" w:type="dxa"/>
            <w:left w:w="108" w:type="dxa"/>
            <w:bottom w:w="0" w:type="dxa"/>
            <w:right w:w="108" w:type="dxa"/>
          </w:tblCellMar>
        </w:tblPrEx>
        <w:trPr>
          <w:trHeight w:val="285" w:hRule="atLeast"/>
          <w:jc w:val="center"/>
        </w:trPr>
        <w:tc>
          <w:tcPr>
            <w:tcW w:w="62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市财政局</w:t>
            </w:r>
          </w:p>
        </w:tc>
        <w:tc>
          <w:tcPr>
            <w:tcW w:w="212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2"/>
                <w:sz w:val="24"/>
                <w:szCs w:val="24"/>
                <w:u w:val="none"/>
                <w:lang w:val="en-US" w:eastAsia="zh-CN" w:bidi="ar-SA"/>
              </w:rPr>
            </w:pPr>
            <w:r>
              <w:rPr>
                <w:rFonts w:hint="eastAsia" w:ascii="仿宋_GB2312" w:hAnsi="仿宋_GB2312" w:eastAsia="仿宋_GB2312" w:cs="仿宋_GB2312"/>
                <w:i w:val="0"/>
                <w:iCs w:val="0"/>
                <w:color w:val="000000"/>
                <w:sz w:val="24"/>
                <w:szCs w:val="24"/>
                <w:u w:val="none"/>
                <w:lang w:val="en-US" w:eastAsia="zh-CN"/>
              </w:rPr>
              <w:t>无</w:t>
            </w:r>
          </w:p>
        </w:tc>
        <w:tc>
          <w:tcPr>
            <w:tcW w:w="616"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rPr>
            </w:pPr>
          </w:p>
        </w:tc>
        <w:tc>
          <w:tcPr>
            <w:tcW w:w="1123"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rPr>
            </w:pPr>
          </w:p>
        </w:tc>
      </w:tr>
      <w:tr>
        <w:tblPrEx>
          <w:tblCellMar>
            <w:top w:w="0" w:type="dxa"/>
            <w:left w:w="108" w:type="dxa"/>
            <w:bottom w:w="0" w:type="dxa"/>
            <w:right w:w="108" w:type="dxa"/>
          </w:tblCellMar>
        </w:tblPrEx>
        <w:trPr>
          <w:trHeight w:val="285" w:hRule="atLeast"/>
          <w:jc w:val="center"/>
        </w:trPr>
        <w:tc>
          <w:tcPr>
            <w:tcW w:w="62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市烟草专卖局</w:t>
            </w:r>
          </w:p>
        </w:tc>
        <w:tc>
          <w:tcPr>
            <w:tcW w:w="212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无</w:t>
            </w:r>
          </w:p>
        </w:tc>
        <w:tc>
          <w:tcPr>
            <w:tcW w:w="616"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rPr>
            </w:pPr>
          </w:p>
        </w:tc>
        <w:tc>
          <w:tcPr>
            <w:tcW w:w="1123"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rPr>
            </w:pPr>
          </w:p>
        </w:tc>
      </w:tr>
    </w:tbl>
    <w:p>
      <w:pPr>
        <w:rPr>
          <w:rFonts w:eastAsia="方正仿宋_GBK"/>
          <w:sz w:val="32"/>
          <w:szCs w:val="32"/>
        </w:rPr>
      </w:pPr>
      <w:r>
        <w:rPr>
          <w:rFonts w:eastAsia="方正仿宋_GBK"/>
          <w:sz w:val="32"/>
          <w:szCs w:val="32"/>
        </w:rPr>
        <w:t>注：应当附征求意见资料</w:t>
      </w:r>
    </w:p>
    <w:p/>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firstLine="360"/>
      <w:rPr>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snapToGrid w:val="0"/>
                            <w:rPr>
                              <w:rFonts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- 2 -</w:t>
                          </w:r>
                          <w:r>
                            <w:rPr>
                              <w:rFonts w:hint="eastAsia" w:ascii="宋体" w:hAnsi="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4aj184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dLSuPlTd&#10;A0yhZWGrd5bHNFEqb1fHAGmT4lGgThV0Kh4wh6ln/c7EQf/znKIe/yeW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XhqPXzgCAABvBAAADgAAAAAAAAABACAAAAAfAQAAZHJzL2Uyb0RvYy54&#10;bWxQSwUGAAAAAAYABgBZAQAAyQUAAAAA&#10;">
              <v:fill on="f" focussize="0,0"/>
              <v:stroke on="f" weight="0.5pt"/>
              <v:imagedata o:title=""/>
              <o:lock v:ext="edit" aspectratio="f"/>
              <v:textbox inset="0mm,0mm,0mm,0mm" style="mso-fit-shape-to-text:t;">
                <w:txbxContent>
                  <w:p>
                    <w:pPr>
                      <w:snapToGrid w:val="0"/>
                      <w:rPr>
                        <w:rFonts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- 2 -</w:t>
                    </w:r>
                    <w:r>
                      <w:rPr>
                        <w:rFonts w:hint="eastAsia" w:ascii="宋体" w:hAnsi="宋体" w:cs="宋体"/>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M2MGZmZGFkODFhNThkMWY5Zjg4ZDI2Nzk5ZGZlMWIifQ=="/>
  </w:docVars>
  <w:rsids>
    <w:rsidRoot w:val="106A49FF"/>
    <w:rsid w:val="00617099"/>
    <w:rsid w:val="091C54CA"/>
    <w:rsid w:val="0BE114B0"/>
    <w:rsid w:val="106A49FF"/>
    <w:rsid w:val="11BE6AD3"/>
    <w:rsid w:val="13383132"/>
    <w:rsid w:val="15695ACC"/>
    <w:rsid w:val="19E17FAF"/>
    <w:rsid w:val="1A703458"/>
    <w:rsid w:val="237D3039"/>
    <w:rsid w:val="2DFD2898"/>
    <w:rsid w:val="2E277E7A"/>
    <w:rsid w:val="3A0B68A2"/>
    <w:rsid w:val="3D9747D6"/>
    <w:rsid w:val="4950607F"/>
    <w:rsid w:val="59215342"/>
    <w:rsid w:val="59F24938"/>
    <w:rsid w:val="5B355496"/>
    <w:rsid w:val="5C0A6562"/>
    <w:rsid w:val="65E36662"/>
    <w:rsid w:val="66F34C71"/>
    <w:rsid w:val="6804038D"/>
    <w:rsid w:val="68326B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next w:val="3"/>
    <w:unhideWhenUsed/>
    <w:qFormat/>
    <w:uiPriority w:val="99"/>
    <w:pPr>
      <w:tabs>
        <w:tab w:val="center" w:pos="4153"/>
        <w:tab w:val="right" w:pos="8306"/>
      </w:tabs>
      <w:snapToGrid w:val="0"/>
      <w:jc w:val="left"/>
    </w:pPr>
    <w:rPr>
      <w:sz w:val="18"/>
      <w:szCs w:val="18"/>
    </w:rPr>
  </w:style>
  <w:style w:type="paragraph" w:styleId="3">
    <w:name w:val="index 5"/>
    <w:basedOn w:val="1"/>
    <w:next w:val="1"/>
    <w:qFormat/>
    <w:uiPriority w:val="0"/>
    <w:pPr>
      <w:ind w:left="1680"/>
    </w:pPr>
  </w:style>
  <w:style w:type="paragraph" w:styleId="4">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2658</Words>
  <Characters>2732</Characters>
  <Lines>0</Lines>
  <Paragraphs>0</Paragraphs>
  <TotalTime>6</TotalTime>
  <ScaleCrop>false</ScaleCrop>
  <LinksUpToDate>false</LinksUpToDate>
  <CharactersWithSpaces>2734</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2023-07-27T01:37:00Z</dcterms:created>
  <dc:creator>不死鸟</dc:creator>
  <cp:lastModifiedBy>小细菌</cp:lastModifiedBy>
  <dcterms:modified xsi:type="dcterms:W3CDTF">2023-11-03T03:09:53Z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D4BF707CDFEF43E1B9BB05DF90A5E2BE_13</vt:lpwstr>
  </property>
</Properties>
</file>